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8F29" w14:textId="77777777" w:rsidR="004A747F" w:rsidRPr="00C77054" w:rsidRDefault="004A747F" w:rsidP="004A74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C77054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13D933D" wp14:editId="0C0042E7">
            <wp:simplePos x="0" y="0"/>
            <wp:positionH relativeFrom="column">
              <wp:posOffset>5304790</wp:posOffset>
            </wp:positionH>
            <wp:positionV relativeFrom="paragraph">
              <wp:posOffset>-337820</wp:posOffset>
            </wp:positionV>
            <wp:extent cx="818247" cy="1259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47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054">
        <w:rPr>
          <w:rFonts w:ascii="Arial" w:hAnsi="Arial" w:cs="Arial"/>
          <w:b/>
          <w:color w:val="000000" w:themeColor="text1"/>
        </w:rPr>
        <w:t>CUST SCHOOL NEW ENTRANT ENROLMENT POLICY</w:t>
      </w:r>
    </w:p>
    <w:p w14:paraId="79DE0FA0" w14:textId="77777777" w:rsidR="004A747F" w:rsidRPr="00C77054" w:rsidRDefault="004A747F" w:rsidP="004A74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C77054">
        <w:rPr>
          <w:rFonts w:ascii="Arial" w:hAnsi="Arial" w:cs="Arial"/>
          <w:color w:val="000000" w:themeColor="text1"/>
        </w:rPr>
        <w:t>(To commence Term 1 2018)</w:t>
      </w:r>
    </w:p>
    <w:p w14:paraId="570A7784" w14:textId="77777777" w:rsidR="004A747F" w:rsidRPr="00C77054" w:rsidRDefault="004A747F" w:rsidP="004A747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8D53D6C" w14:textId="77777777" w:rsidR="00B54A26" w:rsidRPr="00C77054" w:rsidRDefault="00B54A26" w:rsidP="004A747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797EFAD" w14:textId="487F1128" w:rsidR="004A747F" w:rsidRPr="00C77054" w:rsidRDefault="00ED2161" w:rsidP="008721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C77054">
        <w:rPr>
          <w:rFonts w:ascii="Arial" w:hAnsi="Arial" w:cs="Arial"/>
          <w:b/>
          <w:color w:val="000000" w:themeColor="text1"/>
        </w:rPr>
        <w:t>Cust</w:t>
      </w:r>
      <w:proofErr w:type="spellEnd"/>
      <w:r w:rsidRPr="00C77054">
        <w:rPr>
          <w:rFonts w:ascii="Arial" w:hAnsi="Arial" w:cs="Arial"/>
          <w:b/>
          <w:color w:val="000000" w:themeColor="text1"/>
        </w:rPr>
        <w:t xml:space="preserve"> School Cohort Entry</w:t>
      </w:r>
    </w:p>
    <w:p w14:paraId="2AD288D4" w14:textId="77777777" w:rsidR="004A747F" w:rsidRPr="00C77054" w:rsidRDefault="004A747F" w:rsidP="004A747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CBC4D5D" w14:textId="77777777" w:rsidR="004A747F" w:rsidRPr="00C77054" w:rsidRDefault="004A747F" w:rsidP="004A747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FD35788" w14:textId="77777777" w:rsidR="003E4AFE" w:rsidRPr="003E4AFE" w:rsidRDefault="003E4AFE" w:rsidP="003E4AFE">
      <w:pPr>
        <w:spacing w:after="12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4AF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AFEEEE"/>
        </w:rPr>
        <w:t>Cohort</w:t>
      </w:r>
      <w:r w:rsidRPr="003E4AF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3E4AF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AFEEEE"/>
        </w:rPr>
        <w:t>Entry</w:t>
      </w:r>
      <w:bookmarkStart w:id="0" w:name="_GoBack"/>
      <w:bookmarkEnd w:id="0"/>
    </w:p>
    <w:p w14:paraId="69D1F078" w14:textId="77777777" w:rsidR="003E4AFE" w:rsidRPr="003E4AFE" w:rsidRDefault="003E4AFE" w:rsidP="003E4AFE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3E4AFE">
        <w:rPr>
          <w:rFonts w:ascii="Helvetica" w:hAnsi="Helvetica" w:cs="Times New Roman"/>
          <w:color w:val="3F3F3F"/>
          <w:sz w:val="21"/>
          <w:szCs w:val="21"/>
        </w:rPr>
        <w:t>Our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cohort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entry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policy applies from term 1 2018.</w:t>
      </w:r>
    </w:p>
    <w:p w14:paraId="3603135F" w14:textId="77777777" w:rsidR="003E4AFE" w:rsidRPr="003E4AFE" w:rsidRDefault="003E4AFE" w:rsidP="003E4AFE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proofErr w:type="spellStart"/>
      <w:r w:rsidRPr="003E4AFE">
        <w:rPr>
          <w:rFonts w:ascii="Helvetica" w:hAnsi="Helvetica" w:cs="Times New Roman"/>
          <w:color w:val="3F3F3F"/>
          <w:sz w:val="21"/>
          <w:szCs w:val="21"/>
        </w:rPr>
        <w:t>Cust</w:t>
      </w:r>
      <w:proofErr w:type="spellEnd"/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 School operates a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cohort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entry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policy, which allows new entrants to start school in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cohort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groups on the first day of the term, rather than singly on each child’s 5th birthday (also known as continuous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entry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). Children are expected to start school at the beginning of the first full term after their 5th birthday.</w:t>
      </w:r>
    </w:p>
    <w:p w14:paraId="2F0AECF1" w14:textId="77777777" w:rsidR="003E4AFE" w:rsidRPr="003E4AFE" w:rsidRDefault="003E4AFE" w:rsidP="003E4AFE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3E4AFE">
        <w:rPr>
          <w:rFonts w:ascii="Helvetica" w:hAnsi="Helvetica" w:cs="Times New Roman"/>
          <w:color w:val="3F3F3F"/>
          <w:sz w:val="21"/>
          <w:szCs w:val="21"/>
        </w:rPr>
        <w:t>We feel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cohort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entry</w:t>
      </w:r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 allows new entrants an easier transition to school and helps them build relationships with both their fellow new entrants and other students already in the class. It allows </w:t>
      </w:r>
      <w:proofErr w:type="spellStart"/>
      <w:r w:rsidRPr="003E4AFE">
        <w:rPr>
          <w:rFonts w:ascii="Helvetica" w:hAnsi="Helvetica" w:cs="Times New Roman"/>
          <w:color w:val="3F3F3F"/>
          <w:sz w:val="21"/>
          <w:szCs w:val="21"/>
        </w:rPr>
        <w:t>Cust</w:t>
      </w:r>
      <w:proofErr w:type="spellEnd"/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 School to better plan its staffing requirements, and </w:t>
      </w:r>
      <w:proofErr w:type="spellStart"/>
      <w:r w:rsidRPr="003E4AFE">
        <w:rPr>
          <w:rFonts w:ascii="Helvetica" w:hAnsi="Helvetica" w:cs="Times New Roman"/>
          <w:color w:val="3F3F3F"/>
          <w:sz w:val="21"/>
          <w:szCs w:val="21"/>
        </w:rPr>
        <w:t>minimises</w:t>
      </w:r>
      <w:proofErr w:type="spellEnd"/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 disruption for new entrant teachers.</w:t>
      </w:r>
    </w:p>
    <w:p w14:paraId="5130B3B0" w14:textId="77777777" w:rsidR="003E4AFE" w:rsidRPr="003E4AFE" w:rsidRDefault="003E4AFE" w:rsidP="003E4AFE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3E4AFE">
        <w:rPr>
          <w:rFonts w:ascii="Helvetica" w:hAnsi="Helvetica" w:cs="Times New Roman"/>
          <w:color w:val="3F3F3F"/>
          <w:sz w:val="21"/>
          <w:szCs w:val="21"/>
        </w:rPr>
        <w:t>Once a child is formally enrolled at school, they must attend school regularly. Children must be enrolled in school by their 6th birthday.</w:t>
      </w:r>
    </w:p>
    <w:p w14:paraId="546A547B" w14:textId="77777777" w:rsidR="003E4AFE" w:rsidRPr="003E4AFE" w:rsidRDefault="003E4AFE" w:rsidP="003E4AFE">
      <w:pPr>
        <w:spacing w:before="240" w:after="40"/>
        <w:textAlignment w:val="baseline"/>
        <w:rPr>
          <w:rFonts w:ascii="Helvetica" w:hAnsi="Helvetica" w:cs="Times New Roman"/>
          <w:b/>
          <w:bCs/>
          <w:color w:val="337E3E"/>
          <w:sz w:val="21"/>
          <w:szCs w:val="21"/>
        </w:rPr>
      </w:pPr>
      <w:r w:rsidRPr="003E4AFE">
        <w:rPr>
          <w:rFonts w:ascii="Helvetica" w:hAnsi="Helvetica" w:cs="Times New Roman"/>
          <w:b/>
          <w:bCs/>
          <w:color w:val="337E3E"/>
          <w:sz w:val="21"/>
          <w:szCs w:val="21"/>
        </w:rPr>
        <w:t>5-year-old new entrants</w:t>
      </w:r>
    </w:p>
    <w:p w14:paraId="0E37E1F5" w14:textId="77777777" w:rsidR="003E4AFE" w:rsidRPr="003E4AFE" w:rsidRDefault="003E4AFE" w:rsidP="003E4AFE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3E4AFE">
        <w:rPr>
          <w:rFonts w:ascii="Helvetica" w:hAnsi="Helvetica" w:cs="Times New Roman"/>
          <w:color w:val="3F3F3F"/>
          <w:sz w:val="21"/>
          <w:szCs w:val="21"/>
        </w:rPr>
        <w:t>After a child turns 5, their school start date is the first day of the following term.</w:t>
      </w:r>
    </w:p>
    <w:p w14:paraId="10E41D5E" w14:textId="77777777" w:rsidR="003E4AFE" w:rsidRPr="003E4AFE" w:rsidRDefault="003E4AFE" w:rsidP="003E4AFE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proofErr w:type="spellStart"/>
      <w:r w:rsidRPr="003E4AFE">
        <w:rPr>
          <w:rFonts w:ascii="Helvetica" w:hAnsi="Helvetica" w:cs="Times New Roman"/>
          <w:color w:val="3F3F3F"/>
          <w:sz w:val="21"/>
          <w:szCs w:val="21"/>
        </w:rPr>
        <w:t>Cust</w:t>
      </w:r>
      <w:proofErr w:type="spellEnd"/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 School discourages parents from enrolling their child at the age of 4 (though it is lawful to do so provided their 5th birthday occurs before the mid-term date of the term in which they would be starting school). We feel that it is more beneficial for all "new" 5-year-olds start together at the beginning of each term.</w:t>
      </w:r>
    </w:p>
    <w:p w14:paraId="1A475CD1" w14:textId="77777777" w:rsidR="003E4AFE" w:rsidRPr="003E4AFE" w:rsidRDefault="003E4AFE" w:rsidP="003E4AFE">
      <w:pPr>
        <w:spacing w:before="240" w:after="40"/>
        <w:textAlignment w:val="baseline"/>
        <w:rPr>
          <w:rFonts w:ascii="Helvetica" w:hAnsi="Helvetica" w:cs="Times New Roman"/>
          <w:b/>
          <w:bCs/>
          <w:color w:val="337E3E"/>
          <w:sz w:val="21"/>
          <w:szCs w:val="21"/>
        </w:rPr>
      </w:pPr>
      <w:r w:rsidRPr="003E4AFE">
        <w:rPr>
          <w:rFonts w:ascii="Helvetica" w:hAnsi="Helvetica" w:cs="Times New Roman"/>
          <w:b/>
          <w:bCs/>
          <w:color w:val="337E3E"/>
          <w:sz w:val="21"/>
          <w:szCs w:val="21"/>
        </w:rPr>
        <w:t>Community consultation</w:t>
      </w:r>
    </w:p>
    <w:p w14:paraId="3EC08435" w14:textId="77777777" w:rsidR="003E4AFE" w:rsidRPr="003E4AFE" w:rsidRDefault="003E4AFE" w:rsidP="003E4AFE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3E4AFE">
        <w:rPr>
          <w:rFonts w:ascii="Helvetica" w:hAnsi="Helvetica" w:cs="Times New Roman"/>
          <w:color w:val="3F3F3F"/>
          <w:sz w:val="21"/>
          <w:szCs w:val="21"/>
        </w:rPr>
        <w:t>The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cohort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entry</w:t>
      </w:r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 policy has been approved by the </w:t>
      </w:r>
      <w:proofErr w:type="spellStart"/>
      <w:r w:rsidRPr="003E4AFE">
        <w:rPr>
          <w:rFonts w:ascii="Helvetica" w:hAnsi="Helvetica" w:cs="Times New Roman"/>
          <w:color w:val="3F3F3F"/>
          <w:sz w:val="21"/>
          <w:szCs w:val="21"/>
        </w:rPr>
        <w:t>Cust</w:t>
      </w:r>
      <w:proofErr w:type="spellEnd"/>
      <w:r w:rsidRPr="003E4AFE">
        <w:rPr>
          <w:rFonts w:ascii="Helvetica" w:hAnsi="Helvetica" w:cs="Times New Roman"/>
          <w:color w:val="3F3F3F"/>
          <w:sz w:val="21"/>
          <w:szCs w:val="21"/>
        </w:rPr>
        <w:t xml:space="preserve"> School board of trustees, and developed in consultation with</w:t>
      </w:r>
    </w:p>
    <w:p w14:paraId="7A9CCDA0" w14:textId="77777777" w:rsidR="003E4AFE" w:rsidRPr="003E4AFE" w:rsidRDefault="003E4AFE" w:rsidP="003E4AFE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3E4AFE">
        <w:rPr>
          <w:rFonts w:ascii="Verdana" w:eastAsia="Times New Roman" w:hAnsi="Verdana" w:cs="Times New Roman"/>
          <w:color w:val="3F3F3F"/>
          <w:sz w:val="21"/>
          <w:szCs w:val="21"/>
        </w:rPr>
        <w:t>current parents</w:t>
      </w:r>
    </w:p>
    <w:p w14:paraId="6C89744D" w14:textId="77777777" w:rsidR="003E4AFE" w:rsidRPr="003E4AFE" w:rsidRDefault="003E4AFE" w:rsidP="003E4AFE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3E4AFE">
        <w:rPr>
          <w:rFonts w:ascii="Verdana" w:eastAsia="Times New Roman" w:hAnsi="Verdana" w:cs="Times New Roman"/>
          <w:color w:val="3F3F3F"/>
          <w:sz w:val="21"/>
          <w:szCs w:val="21"/>
        </w:rPr>
        <w:t>school staff</w:t>
      </w:r>
    </w:p>
    <w:p w14:paraId="703F8D81" w14:textId="77777777" w:rsidR="003E4AFE" w:rsidRPr="003E4AFE" w:rsidRDefault="003E4AFE" w:rsidP="003E4AFE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3E4AFE">
        <w:rPr>
          <w:rFonts w:ascii="Verdana" w:eastAsia="Times New Roman" w:hAnsi="Verdana" w:cs="Times New Roman"/>
          <w:color w:val="3F3F3F"/>
          <w:sz w:val="21"/>
          <w:szCs w:val="21"/>
        </w:rPr>
        <w:t xml:space="preserve">local early childhood </w:t>
      </w:r>
      <w:proofErr w:type="spellStart"/>
      <w:r w:rsidRPr="003E4AFE">
        <w:rPr>
          <w:rFonts w:ascii="Verdana" w:eastAsia="Times New Roman" w:hAnsi="Verdana" w:cs="Times New Roman"/>
          <w:color w:val="3F3F3F"/>
          <w:sz w:val="21"/>
          <w:szCs w:val="21"/>
        </w:rPr>
        <w:t>centres</w:t>
      </w:r>
      <w:proofErr w:type="spellEnd"/>
    </w:p>
    <w:p w14:paraId="51247E7B" w14:textId="77777777" w:rsidR="003E4AFE" w:rsidRPr="003E4AFE" w:rsidRDefault="003E4AFE" w:rsidP="003E4AFE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3E4AFE">
        <w:rPr>
          <w:rFonts w:ascii="Verdana" w:eastAsia="Times New Roman" w:hAnsi="Verdana" w:cs="Times New Roman"/>
          <w:color w:val="3F3F3F"/>
          <w:sz w:val="21"/>
          <w:szCs w:val="21"/>
        </w:rPr>
        <w:t>prospective parents.</w:t>
      </w:r>
    </w:p>
    <w:p w14:paraId="00150ED4" w14:textId="77777777" w:rsidR="003E4AFE" w:rsidRPr="003E4AFE" w:rsidRDefault="003E4AFE" w:rsidP="003E4AFE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3E4AFE">
        <w:rPr>
          <w:rFonts w:ascii="Helvetica" w:hAnsi="Helvetica" w:cs="Times New Roman"/>
          <w:color w:val="3F3F3F"/>
          <w:sz w:val="21"/>
          <w:szCs w:val="21"/>
        </w:rPr>
        <w:t>If the school decides to revoke the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cohort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</w:t>
      </w:r>
      <w:r w:rsidRPr="003E4AFE">
        <w:rPr>
          <w:rFonts w:ascii="Helvetica" w:hAnsi="Helvetica" w:cs="Times New Roman"/>
          <w:color w:val="3F3F3F"/>
          <w:sz w:val="21"/>
          <w:szCs w:val="21"/>
          <w:shd w:val="clear" w:color="auto" w:fill="AFEEEE"/>
        </w:rPr>
        <w:t>entry</w:t>
      </w:r>
      <w:r w:rsidRPr="003E4AFE">
        <w:rPr>
          <w:rFonts w:ascii="Helvetica" w:hAnsi="Helvetica" w:cs="Times New Roman"/>
          <w:color w:val="3F3F3F"/>
          <w:sz w:val="21"/>
          <w:szCs w:val="21"/>
        </w:rPr>
        <w:t> policy, the board will undergo reasonable consultation with the stakeholders listed above, and provide at least one term's notice before the policy ends.</w:t>
      </w:r>
    </w:p>
    <w:p w14:paraId="42E67BD6" w14:textId="77777777" w:rsidR="003E4AFE" w:rsidRPr="003E4AFE" w:rsidRDefault="003E4AFE" w:rsidP="003E4AFE">
      <w:pPr>
        <w:pBdr>
          <w:top w:val="single" w:sz="18" w:space="3" w:color="2F4750"/>
        </w:pBdr>
        <w:spacing w:before="300" w:after="120"/>
        <w:textAlignment w:val="baseline"/>
        <w:rPr>
          <w:rFonts w:ascii="Helvetica" w:hAnsi="Helvetica" w:cs="Times New Roman"/>
          <w:b/>
          <w:bCs/>
          <w:color w:val="2F4750"/>
          <w:sz w:val="23"/>
          <w:szCs w:val="23"/>
        </w:rPr>
      </w:pPr>
      <w:r w:rsidRPr="003E4AFE">
        <w:rPr>
          <w:rFonts w:ascii="Helvetica" w:hAnsi="Helvetica" w:cs="Times New Roman"/>
          <w:b/>
          <w:bCs/>
          <w:color w:val="2F4750"/>
          <w:sz w:val="23"/>
          <w:szCs w:val="23"/>
        </w:rPr>
        <w:t>Legislation</w:t>
      </w:r>
    </w:p>
    <w:p w14:paraId="1F2989A7" w14:textId="77777777" w:rsidR="003E4AFE" w:rsidRPr="003E4AFE" w:rsidRDefault="003E4AFE" w:rsidP="003E4AFE">
      <w:pPr>
        <w:numPr>
          <w:ilvl w:val="0"/>
          <w:numId w:val="5"/>
        </w:numPr>
        <w:ind w:firstLine="0"/>
        <w:textAlignment w:val="baseline"/>
        <w:rPr>
          <w:rFonts w:ascii="Verdana" w:eastAsia="Times New Roman" w:hAnsi="Verdana" w:cs="Times New Roman"/>
          <w:color w:val="3F3F3F"/>
          <w:sz w:val="20"/>
          <w:szCs w:val="20"/>
        </w:rPr>
      </w:pPr>
      <w:hyperlink r:id="rId6" w:tgtFrame="_blank" w:history="1"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Education Act 1989</w:t>
        </w:r>
      </w:hyperlink>
      <w:r w:rsidRPr="003E4AFE">
        <w:rPr>
          <w:rFonts w:ascii="Verdana" w:eastAsia="Times New Roman" w:hAnsi="Verdana" w:cs="Times New Roman"/>
          <w:color w:val="3F3F3F"/>
          <w:sz w:val="20"/>
          <w:szCs w:val="20"/>
        </w:rPr>
        <w:t>, including </w:t>
      </w:r>
      <w:hyperlink r:id="rId7" w:tgtFrame="_blank" w:history="1"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Education (Update) Amendment Act 2017</w:t>
        </w:r>
      </w:hyperlink>
    </w:p>
    <w:p w14:paraId="179282AB" w14:textId="77777777" w:rsidR="003E4AFE" w:rsidRPr="003E4AFE" w:rsidRDefault="003E4AFE" w:rsidP="003E4AFE">
      <w:pPr>
        <w:pBdr>
          <w:top w:val="single" w:sz="18" w:space="3" w:color="219996"/>
        </w:pBdr>
        <w:spacing w:before="240" w:after="120"/>
        <w:textAlignment w:val="baseline"/>
        <w:rPr>
          <w:rFonts w:ascii="Helvetica" w:hAnsi="Helvetica" w:cs="Times New Roman"/>
          <w:b/>
          <w:bCs/>
          <w:color w:val="219996"/>
          <w:sz w:val="23"/>
          <w:szCs w:val="23"/>
        </w:rPr>
      </w:pPr>
      <w:r w:rsidRPr="003E4AFE">
        <w:rPr>
          <w:rFonts w:ascii="Helvetica" w:hAnsi="Helvetica" w:cs="Times New Roman"/>
          <w:b/>
          <w:bCs/>
          <w:color w:val="219996"/>
          <w:sz w:val="23"/>
          <w:szCs w:val="23"/>
        </w:rPr>
        <w:t>Resources</w:t>
      </w:r>
    </w:p>
    <w:p w14:paraId="6AAB9A08" w14:textId="669EE410" w:rsidR="003E4AFE" w:rsidRPr="003E4AFE" w:rsidRDefault="003E4AFE" w:rsidP="003E4AFE">
      <w:pPr>
        <w:numPr>
          <w:ilvl w:val="0"/>
          <w:numId w:val="6"/>
        </w:numPr>
        <w:ind w:firstLine="0"/>
        <w:textAlignment w:val="baseline"/>
        <w:rPr>
          <w:rFonts w:ascii="Verdana" w:eastAsia="Times New Roman" w:hAnsi="Verdana" w:cs="Times New Roman"/>
          <w:color w:val="3F3F3F"/>
          <w:sz w:val="20"/>
          <w:szCs w:val="20"/>
        </w:rPr>
      </w:pPr>
      <w:hyperlink r:id="rId8" w:tgtFrame="_blank" w:history="1"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Ministry of Education: Enabling schools to introduce 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  <w:shd w:val="clear" w:color="auto" w:fill="AFEEEE"/>
          </w:rPr>
          <w:t>cohort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 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  <w:shd w:val="clear" w:color="auto" w:fill="AFEEEE"/>
          </w:rPr>
          <w:t>entry</w:t>
        </w:r>
      </w:hyperlink>
      <w:r w:rsidRPr="003E4AFE">
        <w:rPr>
          <w:rFonts w:ascii="Verdana" w:eastAsia="Times New Roman" w:hAnsi="Verdana" w:cs="Times New Roman"/>
          <w:color w:val="3F3F3F"/>
          <w:sz w:val="20"/>
          <w:szCs w:val="20"/>
        </w:rPr>
        <w:t> </w:t>
      </w:r>
      <w:r w:rsidRPr="003E4AFE">
        <w:rPr>
          <w:rFonts w:ascii="Verdana" w:eastAsia="Times New Roman" w:hAnsi="Verdana" w:cs="Times New Roman"/>
          <w:noProof/>
          <w:color w:val="3F3F3F"/>
          <w:sz w:val="20"/>
          <w:szCs w:val="20"/>
        </w:rPr>
        <w:drawing>
          <wp:inline distT="0" distB="0" distL="0" distR="0" wp14:anchorId="05B2B7A6" wp14:editId="19F85343">
            <wp:extent cx="139700" cy="177800"/>
            <wp:effectExtent l="0" t="0" r="12700" b="0"/>
            <wp:docPr id="5" name="Picture 5" descr="DF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3373" descr="DF docu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22C9" w14:textId="4594A5B3" w:rsidR="003E4AFE" w:rsidRPr="003E4AFE" w:rsidRDefault="003E4AFE" w:rsidP="003E4AFE">
      <w:pPr>
        <w:numPr>
          <w:ilvl w:val="0"/>
          <w:numId w:val="6"/>
        </w:numPr>
        <w:ind w:firstLine="0"/>
        <w:textAlignment w:val="baseline"/>
        <w:rPr>
          <w:rFonts w:ascii="Verdana" w:eastAsia="Times New Roman" w:hAnsi="Verdana" w:cs="Times New Roman"/>
          <w:color w:val="3F3F3F"/>
          <w:sz w:val="20"/>
          <w:szCs w:val="20"/>
        </w:rPr>
      </w:pPr>
      <w:hyperlink r:id="rId10" w:tgtFrame="_blank" w:history="1"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NZSTA: 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  <w:shd w:val="clear" w:color="auto" w:fill="AFEEEE"/>
          </w:rPr>
          <w:t>Cohort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 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  <w:shd w:val="clear" w:color="auto" w:fill="AFEEEE"/>
          </w:rPr>
          <w:t>entry</w:t>
        </w:r>
        <w:r w:rsidRPr="003E4AFE">
          <w:rPr>
            <w:rFonts w:ascii="Verdana" w:eastAsia="Times New Roman" w:hAnsi="Verdana" w:cs="Times New Roman"/>
            <w:b/>
            <w:bCs/>
            <w:color w:val="004477"/>
            <w:sz w:val="20"/>
            <w:szCs w:val="20"/>
          </w:rPr>
          <w:t> to school</w:t>
        </w:r>
      </w:hyperlink>
      <w:r w:rsidRPr="003E4AFE">
        <w:rPr>
          <w:rFonts w:ascii="Verdana" w:eastAsia="Times New Roman" w:hAnsi="Verdana" w:cs="Times New Roman"/>
          <w:color w:val="3F3F3F"/>
          <w:sz w:val="20"/>
          <w:szCs w:val="20"/>
        </w:rPr>
        <w:t> </w:t>
      </w:r>
      <w:r w:rsidRPr="003E4AFE">
        <w:rPr>
          <w:rFonts w:ascii="Verdana" w:eastAsia="Times New Roman" w:hAnsi="Verdana" w:cs="Times New Roman"/>
          <w:noProof/>
          <w:color w:val="3F3F3F"/>
          <w:sz w:val="20"/>
          <w:szCs w:val="20"/>
        </w:rPr>
        <w:drawing>
          <wp:inline distT="0" distB="0" distL="0" distR="0" wp14:anchorId="343C13E0" wp14:editId="2377CA32">
            <wp:extent cx="139700" cy="177800"/>
            <wp:effectExtent l="0" t="0" r="12700" b="0"/>
            <wp:docPr id="4" name="Picture 4" descr="DF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3373_1" descr="DF docu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1C1F" w14:textId="77777777" w:rsidR="00CE65D5" w:rsidRPr="00C77054" w:rsidRDefault="003E4AFE">
      <w:pPr>
        <w:rPr>
          <w:rFonts w:ascii="Arial" w:hAnsi="Arial" w:cs="Arial"/>
          <w:color w:val="000000" w:themeColor="text1"/>
        </w:rPr>
      </w:pPr>
    </w:p>
    <w:sectPr w:rsidR="00CE65D5" w:rsidRPr="00C77054" w:rsidSect="004A747F">
      <w:pgSz w:w="11900" w:h="16840"/>
      <w:pgMar w:top="10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A15598"/>
    <w:multiLevelType w:val="multilevel"/>
    <w:tmpl w:val="EC4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1B77C8"/>
    <w:multiLevelType w:val="multilevel"/>
    <w:tmpl w:val="136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42325"/>
    <w:multiLevelType w:val="multilevel"/>
    <w:tmpl w:val="F802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F"/>
    <w:rsid w:val="003B5488"/>
    <w:rsid w:val="003E4AFE"/>
    <w:rsid w:val="004A747F"/>
    <w:rsid w:val="0087219F"/>
    <w:rsid w:val="009A50AA"/>
    <w:rsid w:val="009D4B47"/>
    <w:rsid w:val="00B54A26"/>
    <w:rsid w:val="00C77054"/>
    <w:rsid w:val="00D54242"/>
    <w:rsid w:val="00DC7F52"/>
    <w:rsid w:val="00ED2161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84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47F"/>
  </w:style>
  <w:style w:type="paragraph" w:styleId="Heading3">
    <w:name w:val="heading 3"/>
    <w:basedOn w:val="Normal"/>
    <w:link w:val="Heading3Char"/>
    <w:uiPriority w:val="9"/>
    <w:qFormat/>
    <w:rsid w:val="003E4A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AFE"/>
    <w:rPr>
      <w:rFonts w:ascii="Times New Roman" w:hAnsi="Times New Roman"/>
      <w:b/>
      <w:bCs/>
      <w:sz w:val="27"/>
      <w:szCs w:val="27"/>
    </w:rPr>
  </w:style>
  <w:style w:type="character" w:customStyle="1" w:styleId="highlight">
    <w:name w:val="highlight"/>
    <w:basedOn w:val="DefaultParagraphFont"/>
    <w:rsid w:val="003E4AFE"/>
  </w:style>
  <w:style w:type="paragraph" w:customStyle="1" w:styleId="bodytext">
    <w:name w:val="bodytext"/>
    <w:basedOn w:val="Normal"/>
    <w:rsid w:val="003E4AF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ing2">
    <w:name w:val="subheading2"/>
    <w:basedOn w:val="Normal"/>
    <w:rsid w:val="003E4AF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egislation">
    <w:name w:val="legislation"/>
    <w:basedOn w:val="Normal"/>
    <w:rsid w:val="003E4AF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E4AFE"/>
    <w:rPr>
      <w:color w:val="0000FF"/>
      <w:u w:val="single"/>
    </w:rPr>
  </w:style>
  <w:style w:type="paragraph" w:customStyle="1" w:styleId="resources">
    <w:name w:val="resources"/>
    <w:basedOn w:val="Normal"/>
    <w:rsid w:val="003E4AF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legislation.govt.nz/act/public/1989/0080/latest/DLM175959.html" TargetMode="External"/><Relationship Id="rId7" Type="http://schemas.openxmlformats.org/officeDocument/2006/relationships/hyperlink" Target="http://www.legislation.govt.nz/act/public/2017/0020/latest/DLM6928647.html" TargetMode="External"/><Relationship Id="rId8" Type="http://schemas.openxmlformats.org/officeDocument/2006/relationships/hyperlink" Target="https://education.govt.nz/assets/Documents/Ministry/Legislation/Ed-Act-Update-Factsheets/Ed-Act-Update-FS-8-Enabling-schools-to-introduce-cohort-entry.pdf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nzsta.org.nz/media/534554/cohert-entry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2017-09-13T19:12:00Z</dcterms:created>
  <dcterms:modified xsi:type="dcterms:W3CDTF">2017-09-15T20:50:00Z</dcterms:modified>
</cp:coreProperties>
</file>